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微软雅黑"/>
          <w:sz w:val="36"/>
        </w:rPr>
      </w:pPr>
      <w:r>
        <w:drawing>
          <wp:inline distT="0" distB="0" distL="114300" distR="114300">
            <wp:extent cx="1550670" cy="670560"/>
            <wp:effectExtent l="0" t="0" r="11430" b="15240"/>
            <wp:docPr id="2051" name="图片 1" descr="A基础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图片 1" descr="A基础-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微软雅黑"/>
          <w:sz w:val="36"/>
        </w:rPr>
      </w:pPr>
    </w:p>
    <w:p>
      <w:pPr>
        <w:jc w:val="center"/>
        <w:rPr>
          <w:rFonts w:ascii="Times New Roman" w:hAnsi="Times New Roman" w:eastAsia="微软雅黑"/>
          <w:sz w:val="36"/>
        </w:rPr>
      </w:pPr>
    </w:p>
    <w:p>
      <w:pPr>
        <w:jc w:val="center"/>
        <w:rPr>
          <w:rFonts w:ascii="Times New Roman" w:hAnsi="Times New Roman" w:eastAsia="微软雅黑"/>
          <w:sz w:val="36"/>
        </w:rPr>
      </w:pPr>
    </w:p>
    <w:p>
      <w:pPr>
        <w:ind w:firstLine="2400" w:firstLineChars="500"/>
        <w:jc w:val="both"/>
        <w:rPr>
          <w:rFonts w:hint="eastAsia" w:ascii="隶书" w:hAnsi="隶书" w:eastAsia="隶书" w:cs="隶书"/>
          <w:sz w:val="48"/>
          <w:szCs w:val="48"/>
          <w:lang w:eastAsia="zh-CN"/>
        </w:rPr>
      </w:pPr>
    </w:p>
    <w:p>
      <w:pPr>
        <w:ind w:firstLine="2400" w:firstLineChars="500"/>
        <w:jc w:val="both"/>
        <w:rPr>
          <w:rFonts w:hint="eastAsia" w:ascii="隶书" w:hAnsi="隶书" w:eastAsia="隶书" w:cs="隶书"/>
          <w:sz w:val="48"/>
          <w:szCs w:val="48"/>
          <w:lang w:eastAsia="zh-CN"/>
        </w:rPr>
      </w:pPr>
    </w:p>
    <w:p>
      <w:pPr>
        <w:ind w:firstLine="2400" w:firstLineChars="500"/>
        <w:jc w:val="both"/>
        <w:rPr>
          <w:rFonts w:hint="eastAsia" w:ascii="隶书" w:hAnsi="隶书" w:eastAsia="隶书" w:cs="隶书"/>
          <w:sz w:val="48"/>
          <w:szCs w:val="48"/>
          <w:lang w:eastAsia="zh-CN"/>
        </w:rPr>
      </w:pPr>
    </w:p>
    <w:p>
      <w:pPr>
        <w:ind w:firstLine="2400" w:firstLineChars="500"/>
        <w:jc w:val="both"/>
        <w:rPr>
          <w:rFonts w:hint="eastAsia" w:ascii="隶书" w:hAnsi="隶书" w:eastAsia="隶书" w:cs="隶书"/>
          <w:sz w:val="48"/>
          <w:szCs w:val="48"/>
          <w:lang w:eastAsia="zh-CN"/>
        </w:rPr>
      </w:pPr>
      <w:r>
        <w:rPr>
          <w:rFonts w:hint="eastAsia" w:ascii="隶书" w:hAnsi="隶书" w:eastAsia="隶书" w:cs="隶书"/>
          <w:sz w:val="48"/>
          <w:szCs w:val="48"/>
          <w:lang w:eastAsia="zh-CN"/>
        </w:rPr>
        <w:t>江苏联佑律师事务所</w:t>
      </w:r>
    </w:p>
    <w:p>
      <w:pPr>
        <w:jc w:val="center"/>
        <w:rPr>
          <w:rFonts w:hint="eastAsia" w:ascii="隶书" w:hAnsi="隶书" w:eastAsia="隶书" w:cs="隶书"/>
          <w:sz w:val="48"/>
          <w:szCs w:val="48"/>
          <w:lang w:eastAsia="zh-CN"/>
        </w:rPr>
      </w:pPr>
    </w:p>
    <w:p>
      <w:pPr>
        <w:jc w:val="center"/>
        <w:rPr>
          <w:rFonts w:hint="eastAsia" w:ascii="Times New Roman" w:hAnsi="Times New Roman" w:eastAsia="黑体"/>
          <w:sz w:val="48"/>
          <w:szCs w:val="48"/>
          <w:lang w:eastAsia="zh-CN"/>
        </w:rPr>
        <w:sectPr>
          <w:headerReference r:id="rId3" w:type="default"/>
          <w:footerReference r:id="rId4" w:type="even"/>
          <w:pgSz w:w="11900" w:h="16840"/>
          <w:pgMar w:top="1440" w:right="1440" w:bottom="1440" w:left="1440" w:header="851" w:footer="992" w:gutter="0"/>
          <w:cols w:space="425" w:num="1"/>
          <w:docGrid w:type="lines" w:linePitch="423" w:charSpace="0"/>
        </w:sectPr>
      </w:pPr>
      <w:r>
        <w:rPr>
          <w:rFonts w:hint="eastAsia" w:ascii="隶书" w:hAnsi="隶书" w:eastAsia="隶书" w:cs="隶书"/>
          <w:sz w:val="48"/>
          <w:szCs w:val="48"/>
          <w:lang w:val="en-US" w:eastAsia="zh-CN"/>
        </w:rPr>
        <w:t xml:space="preserve">  </w:t>
      </w:r>
      <w:r>
        <w:rPr>
          <w:rFonts w:hint="eastAsia" w:ascii="隶书" w:hAnsi="隶书" w:eastAsia="隶书" w:cs="隶书"/>
          <w:sz w:val="48"/>
          <w:szCs w:val="48"/>
          <w:lang w:eastAsia="zh-CN"/>
        </w:rPr>
        <w:t>黄华雷律师办理案件分析报告</w:t>
      </w:r>
    </w:p>
    <w:p>
      <w:pPr>
        <w:widowControl/>
        <w:spacing w:line="360" w:lineRule="auto"/>
        <w:jc w:val="left"/>
        <w:rPr>
          <w:rFonts w:ascii="Times New Roman" w:hAnsi="Times New Roman" w:eastAsia="宋体"/>
        </w:rPr>
      </w:pPr>
    </w:p>
    <w:p>
      <w:pPr>
        <w:pStyle w:val="3"/>
        <w:numPr>
          <w:ilvl w:val="0"/>
          <w:numId w:val="0"/>
        </w:numPr>
        <w:ind w:leftChars="0"/>
      </w:pPr>
      <w:bookmarkStart w:id="0" w:name="_Toc352f0dc81e2845b983141797c9dee3ea"/>
      <w:r>
        <w:rPr>
          <w:rFonts w:hint="eastAsia"/>
          <w:lang w:eastAsia="zh-CN"/>
        </w:rPr>
        <w:t>（一）</w:t>
      </w:r>
      <w:r>
        <w:rPr>
          <w:rFonts w:hint="eastAsia"/>
        </w:rPr>
        <w:t>案由分布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38100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hint="eastAsia" w:ascii="Times New Roman" w:hAnsi="Times New Roman" w:eastAsiaTheme="minorHAnsi"/>
          <w:lang w:eastAsia="zh-CN"/>
        </w:rPr>
        <w:t>近一年来，</w:t>
      </w:r>
      <w:r>
        <w:rPr>
          <w:rFonts w:ascii="Times New Roman" w:hAnsi="Times New Roman" w:eastAsiaTheme="minorHAnsi"/>
        </w:rPr>
        <w:t>从上面的案由分类情况可以看到</w:t>
      </w:r>
      <w:r>
        <w:rPr>
          <w:rFonts w:hint="eastAsia" w:ascii="Times New Roman" w:hAnsi="Times New Roman" w:eastAsiaTheme="minorHAnsi"/>
          <w:lang w:eastAsia="zh-CN"/>
        </w:rPr>
        <w:t>，黄华雷律师</w:t>
      </w:r>
      <w:r>
        <w:rPr>
          <w:rFonts w:ascii="Times New Roman" w:hAnsi="Times New Roman" w:eastAsiaTheme="minorHAnsi"/>
        </w:rPr>
        <w:t>最主要的案由是民事，有204件，占一半以上，其次是刑事，行政，执行。</w:t>
      </w:r>
    </w:p>
    <w:p>
      <w:pPr>
        <w:pStyle w:val="3"/>
        <w:numPr>
          <w:numId w:val="0"/>
        </w:numPr>
        <w:ind w:leftChars="0"/>
      </w:pPr>
      <w:r>
        <w:rPr>
          <w:rFonts w:hint="eastAsia"/>
          <w:lang w:eastAsia="zh-CN"/>
        </w:rPr>
        <w:t>（二）</w:t>
      </w:r>
      <w:r>
        <w:rPr>
          <w:rFonts w:hint="eastAsia"/>
        </w:rPr>
        <w:t>行业分布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45720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从上面的行业分类情况可以看到，当前的行业分布主要集中在制造业，建筑业，批发和零售业，金融业，房地产业。</w:t>
      </w:r>
    </w:p>
    <w:p>
      <w:pPr>
        <w:pStyle w:val="3"/>
        <w:numPr>
          <w:numId w:val="0"/>
        </w:numPr>
        <w:ind w:leftChars="0"/>
      </w:pPr>
      <w:r>
        <w:rPr>
          <w:rFonts w:hint="eastAsia"/>
          <w:lang w:eastAsia="zh-CN"/>
        </w:rPr>
        <w:t>（三）</w:t>
      </w:r>
      <w:r>
        <w:rPr>
          <w:rFonts w:hint="eastAsia"/>
        </w:rPr>
        <w:t>程序分类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38100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从上面的程序分类统计可以得出当前的审理程序分布状况，其中一审案件有160件，二审案件有40件，再审案件有4件，执行案件有15件。并能够推算出一审上诉率约为25.00%。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3"/>
        <w:numPr>
          <w:numId w:val="0"/>
        </w:numPr>
        <w:ind w:leftChars="0"/>
      </w:pPr>
      <w:r>
        <w:rPr>
          <w:rFonts w:hint="eastAsia"/>
          <w:lang w:eastAsia="zh-CN"/>
        </w:rPr>
        <w:t>（四）</w:t>
      </w:r>
      <w:r>
        <w:rPr>
          <w:rFonts w:hint="eastAsia"/>
        </w:rPr>
        <w:t>裁判结果</w:t>
      </w:r>
    </w:p>
    <w:p>
      <w:pPr>
        <w:pStyle w:val="24"/>
        <w:numPr>
          <w:ilvl w:val="0"/>
          <w:numId w:val="3"/>
        </w:numPr>
        <w:spacing w:line="360" w:lineRule="auto"/>
        <w:ind w:left="0" w:firstLine="480"/>
        <w:rPr>
          <w:rFonts w:eastAsiaTheme="minorHAnsi"/>
        </w:rPr>
      </w:pPr>
      <w:r>
        <w:rPr>
          <w:rFonts w:ascii="Times New Roman" w:hAnsi="Times New Roman" w:eastAsiaTheme="minorHAnsi"/>
        </w:rPr>
        <w:t>一审裁判结果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41910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通过对一审裁判结果的可视化分析可以看到，当前条件下全部/部分支持的有78件，占比为51.32%；撤回起诉的有59件，占比为38.82%；全部驳回的有8件，占比为5.26%。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24"/>
        <w:numPr>
          <w:ilvl w:val="0"/>
          <w:numId w:val="3"/>
        </w:numPr>
        <w:spacing w:line="360" w:lineRule="auto"/>
        <w:ind w:left="0" w:firstLine="480"/>
        <w:rPr>
          <w:rFonts w:eastAsiaTheme="minorHAnsi"/>
        </w:rPr>
      </w:pPr>
      <w:r>
        <w:rPr>
          <w:rFonts w:ascii="Times New Roman" w:hAnsi="Times New Roman" w:eastAsiaTheme="minorHAnsi"/>
        </w:rPr>
        <w:t>二审裁判结果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38100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通过对二审裁判结果的可视化分析可以看到，当前条件下维持原判的有25件，占比为62.50%；发回重审的有5件，占比为12.50%；撤回上诉的有5件，占比为12.50%。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rPr>
          <w:rFonts w:ascii="Times New Roman" w:hAnsi="Times New Roman" w:eastAsiaTheme="minorHAnsi"/>
        </w:rPr>
      </w:pPr>
    </w:p>
    <w:p>
      <w:pPr>
        <w:pStyle w:val="24"/>
        <w:numPr>
          <w:ilvl w:val="0"/>
          <w:numId w:val="3"/>
        </w:numPr>
        <w:spacing w:line="360" w:lineRule="auto"/>
        <w:ind w:left="0" w:firstLine="480"/>
        <w:rPr>
          <w:rFonts w:eastAsiaTheme="minorHAnsi"/>
        </w:rPr>
      </w:pPr>
      <w:r>
        <w:rPr>
          <w:rFonts w:ascii="Times New Roman" w:hAnsi="Times New Roman" w:eastAsiaTheme="minorHAnsi"/>
        </w:rPr>
        <w:t>再审裁判结果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3048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通过对再审裁判结果的可视化分析可以看到，当前条件下维持原判的有3件，占比为75.00%；提审/指令审理的有1件，占比为25.00%。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24"/>
        <w:numPr>
          <w:ilvl w:val="0"/>
          <w:numId w:val="3"/>
        </w:numPr>
        <w:spacing w:line="360" w:lineRule="auto"/>
        <w:ind w:left="0" w:firstLine="480"/>
        <w:rPr>
          <w:rFonts w:eastAsiaTheme="minorHAnsi"/>
        </w:rPr>
      </w:pPr>
      <w:r>
        <w:rPr>
          <w:rFonts w:ascii="Times New Roman" w:hAnsi="Times New Roman" w:eastAsiaTheme="minorHAnsi"/>
        </w:rPr>
        <w:t>执行裁判结果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4191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通过对执行裁判结果的可视化分析可以看到，当前条件下终结执行的有4件，占比为26.67%；终结本次执行程序的有4件，占比为26.67%；驳回申请的有4件，占比为26.67%。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24"/>
        <w:numPr>
          <w:ilvl w:val="0"/>
          <w:numId w:val="3"/>
        </w:numPr>
        <w:spacing w:line="360" w:lineRule="auto"/>
        <w:ind w:left="0" w:firstLine="480"/>
        <w:rPr>
          <w:rFonts w:eastAsiaTheme="minorHAnsi"/>
        </w:rPr>
      </w:pPr>
      <w:r>
        <w:rPr>
          <w:rFonts w:ascii="Times New Roman" w:hAnsi="Times New Roman" w:eastAsiaTheme="minorHAnsi"/>
        </w:rPr>
        <w:t>主刑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1143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通过对主刑的可视化可以看到，当前条件下包含有期徒刑的案件有7件，包含拘役的案件有1件。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其中包含缓刑的案件有4件；免予刑事处罚的案件有0件。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24"/>
        <w:numPr>
          <w:ilvl w:val="0"/>
          <w:numId w:val="3"/>
        </w:numPr>
        <w:spacing w:line="360" w:lineRule="auto"/>
        <w:ind w:left="0" w:firstLine="480"/>
        <w:rPr>
          <w:rFonts w:eastAsiaTheme="minorHAnsi"/>
        </w:rPr>
      </w:pPr>
      <w:r>
        <w:rPr>
          <w:rFonts w:ascii="Times New Roman" w:hAnsi="Times New Roman" w:eastAsiaTheme="minorHAnsi"/>
        </w:rPr>
        <w:t>附加刑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7620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通过对附加刑的可视化可以看到，当前条件下件包含罚金的案件有5件。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3"/>
        <w:numPr>
          <w:numId w:val="0"/>
        </w:numPr>
        <w:ind w:leftChars="0"/>
      </w:pPr>
      <w:r>
        <w:rPr>
          <w:rFonts w:hint="eastAsia"/>
          <w:lang w:eastAsia="zh-CN"/>
        </w:rPr>
        <w:t>（五）</w:t>
      </w:r>
      <w:r>
        <w:rPr>
          <w:rFonts w:hint="eastAsia"/>
        </w:rPr>
        <w:t>标的额可视化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4953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通过对标的额的可视化分析可以看到，标的额为50万元以下的案件数量最多，有96件，100万元至500万元的案件有23件，50万元至100万元的案件有18件，500万元至1000万元的案件有10件，2千万元至5千万元的案件有5件。</w:t>
      </w:r>
    </w:p>
    <w:p>
      <w:pPr>
        <w:pStyle w:val="3"/>
        <w:numPr>
          <w:numId w:val="0"/>
        </w:numPr>
        <w:ind w:leftChars="0"/>
      </w:pPr>
      <w:r>
        <w:rPr>
          <w:rFonts w:hint="eastAsia"/>
          <w:lang w:eastAsia="zh-CN"/>
        </w:rPr>
        <w:t>（六）</w:t>
      </w:r>
      <w:r>
        <w:rPr>
          <w:rFonts w:hint="eastAsia"/>
        </w:rPr>
        <w:t>犯罪金额可视化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2667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通过对犯罪金额的可视化分析可以看到，犯罪金额为3万元至10万元的案件数量最多，有1件。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3"/>
        <w:numPr>
          <w:numId w:val="0"/>
        </w:numPr>
        <w:ind w:leftChars="0"/>
      </w:pPr>
      <w:r>
        <w:rPr>
          <w:rFonts w:hint="eastAsia"/>
          <w:lang w:eastAsia="zh-CN"/>
        </w:rPr>
        <w:t>（七）</w:t>
      </w:r>
      <w:r>
        <w:rPr>
          <w:rFonts w:hint="eastAsia"/>
        </w:rPr>
        <w:t>审理期限可视化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41910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通过对审理期限的可视化分析可以看到，当前条件下的审理时间更多处在31-90天的区间内，平均时间为118天。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pStyle w:val="3"/>
        <w:numPr>
          <w:numId w:val="0"/>
        </w:numPr>
        <w:ind w:leftChars="0"/>
      </w:pPr>
      <w:r>
        <w:rPr>
          <w:rFonts w:hint="eastAsia"/>
          <w:lang w:eastAsia="zh-CN"/>
        </w:rPr>
        <w:t>（八</w:t>
      </w:r>
      <w:bookmarkStart w:id="1" w:name="_GoBack"/>
      <w:bookmarkEnd w:id="1"/>
      <w:r>
        <w:rPr>
          <w:rFonts w:hint="eastAsia"/>
          <w:lang w:eastAsia="zh-CN"/>
        </w:rPr>
        <w:t>）</w:t>
      </w:r>
      <w:r>
        <w:rPr>
          <w:rFonts w:hint="eastAsia"/>
        </w:rPr>
        <w:t>法院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="宋体"/>
        </w:rPr>
        <w:drawing>
          <wp:inline distT="0" distB="0" distL="0" distR="0">
            <wp:extent cx="5181600" cy="22860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  <w:r>
        <w:rPr>
          <w:rFonts w:ascii="Times New Roman" w:hAnsi="Times New Roman" w:eastAsiaTheme="minorHAnsi"/>
        </w:rPr>
        <w:t>通过对法院的可视化分析可以看到，审理案件由多至少的法院分别为海门市人民法院、江苏省南通市中级人民法院、江苏省高级人民法院、如皋市人民法院、泰州医药高新技术产业开发区人民法院。</w:t>
      </w: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p>
      <w:pPr>
        <w:spacing w:line="360" w:lineRule="auto"/>
        <w:ind w:firstLine="480" w:firstLineChars="200"/>
        <w:rPr>
          <w:rFonts w:ascii="Times New Roman" w:hAnsi="Times New Roman" w:eastAsiaTheme="minorHAnsi"/>
        </w:rPr>
      </w:pPr>
    </w:p>
    <w:bookmarkEnd w:id="0"/>
    <w:p>
      <w:pPr>
        <w:ind w:firstLine="480" w:firstLineChars="200"/>
        <w:jc w:val="left"/>
        <w:rPr>
          <w:rFonts w:eastAsiaTheme="minorHAnsi"/>
        </w:rPr>
      </w:pPr>
    </w:p>
    <w:sectPr>
      <w:footerReference r:id="rId5" w:type="default"/>
      <w:pgSz w:w="11900" w:h="16840"/>
      <w:pgMar w:top="1440" w:right="1440" w:bottom="1440" w:left="1440" w:header="851" w:footer="992" w:gutter="0"/>
      <w:pgNumType w:start="1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1</w:t>
    </w:r>
    <w:r>
      <w:rPr>
        <w:rStyle w:val="20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20"/>
      </w:rPr>
    </w:pPr>
    <w:r>
      <w:rPr>
        <w:rStyle w:val="20"/>
      </w:rPr>
      <w:fldChar w:fldCharType="begin"/>
    </w:r>
    <w:r>
      <w:rPr>
        <w:rStyle w:val="20"/>
      </w:rPr>
      <w:instrText xml:space="preserve">PAGE  </w:instrText>
    </w:r>
    <w:r>
      <w:rPr>
        <w:rStyle w:val="20"/>
      </w:rPr>
      <w:fldChar w:fldCharType="separate"/>
    </w:r>
    <w:r>
      <w:rPr>
        <w:rStyle w:val="20"/>
      </w:rPr>
      <w:t>1</w:t>
    </w:r>
    <w:r>
      <w:rPr>
        <w:rStyle w:val="20"/>
      </w:rPr>
      <w:fldChar w:fldCharType="end"/>
    </w:r>
  </w:p>
  <w:p>
    <w:pPr>
      <w:pStyle w:val="1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</w:t>
    </w:r>
    <w:r>
      <w:rPr>
        <w:rFonts w:hint="eastAsia"/>
        <w:lang w:eastAsia="zh-CN"/>
      </w:rPr>
      <w:t>路漫</w:t>
    </w:r>
    <w:r>
      <w:rPr>
        <w:rFonts w:hint="eastAsia"/>
        <w:lang w:val="en-US" w:eastAsia="zh-CN"/>
      </w:rPr>
      <w:t>·江苏联佑律师事务所律师办理案件分析报告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29FF"/>
    <w:multiLevelType w:val="multilevel"/>
    <w:tmpl w:val="0C3D29FF"/>
    <w:lvl w:ilvl="0" w:tentative="0">
      <w:start w:val="1"/>
      <w:numFmt w:val="chineseCountingThousand"/>
      <w:pStyle w:val="3"/>
      <w:lvlText w:val="(%1)"/>
      <w:lvlJc w:val="left"/>
      <w:pPr>
        <w:ind w:left="480" w:hanging="480"/>
      </w:pPr>
      <w:rPr>
        <w:rFonts w:hint="eastAsia" w:asciiTheme="minorHAnsi" w:hAnsiTheme="minorHAnsi" w:eastAsiaTheme="minorHAnsi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DE011F"/>
    <w:multiLevelType w:val="multilevel"/>
    <w:tmpl w:val="2FDE011F"/>
    <w:lvl w:ilvl="0" w:tentative="0">
      <w:start w:val="1"/>
      <w:numFmt w:val="chineseCountingThousand"/>
      <w:pStyle w:val="2"/>
      <w:lvlText w:val="%1、"/>
      <w:lvlJc w:val="left"/>
      <w:pPr>
        <w:ind w:left="480" w:hanging="480"/>
      </w:pPr>
      <w:rPr>
        <w:rFonts w:hint="eastAsia" w:asciiTheme="minorHAnsi" w:hAnsiTheme="minorHAnsi" w:eastAsiaTheme="minorHAnsi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DD6583"/>
    <w:multiLevelType w:val="multilevel"/>
    <w:tmpl w:val="42DD6583"/>
    <w:lvl w:ilvl="0" w:tentative="0">
      <w:start w:val="1"/>
      <w:numFmt w:val="bullet"/>
      <w:lvlText w:val="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0A"/>
    <w:rsid w:val="0000711C"/>
    <w:rsid w:val="00030E7A"/>
    <w:rsid w:val="0006201E"/>
    <w:rsid w:val="000757C1"/>
    <w:rsid w:val="000840F6"/>
    <w:rsid w:val="00097DCE"/>
    <w:rsid w:val="000A6FD1"/>
    <w:rsid w:val="000A6FF8"/>
    <w:rsid w:val="000D41A0"/>
    <w:rsid w:val="000F4661"/>
    <w:rsid w:val="00100AFF"/>
    <w:rsid w:val="00104540"/>
    <w:rsid w:val="001079BE"/>
    <w:rsid w:val="001163EB"/>
    <w:rsid w:val="00123040"/>
    <w:rsid w:val="001A4BA6"/>
    <w:rsid w:val="001A5387"/>
    <w:rsid w:val="001A6AFC"/>
    <w:rsid w:val="001B035C"/>
    <w:rsid w:val="001B2257"/>
    <w:rsid w:val="001D004E"/>
    <w:rsid w:val="001D6B13"/>
    <w:rsid w:val="001E423B"/>
    <w:rsid w:val="001F217F"/>
    <w:rsid w:val="001F5815"/>
    <w:rsid w:val="001F7556"/>
    <w:rsid w:val="001F7E2F"/>
    <w:rsid w:val="00231791"/>
    <w:rsid w:val="00253ED1"/>
    <w:rsid w:val="00262D3D"/>
    <w:rsid w:val="0027110A"/>
    <w:rsid w:val="00273F38"/>
    <w:rsid w:val="00275861"/>
    <w:rsid w:val="00280FCF"/>
    <w:rsid w:val="002A1FE6"/>
    <w:rsid w:val="002A7066"/>
    <w:rsid w:val="002D1F80"/>
    <w:rsid w:val="002D2FC0"/>
    <w:rsid w:val="002F2AF3"/>
    <w:rsid w:val="0030220D"/>
    <w:rsid w:val="00311D8D"/>
    <w:rsid w:val="00334DCC"/>
    <w:rsid w:val="00343358"/>
    <w:rsid w:val="00367486"/>
    <w:rsid w:val="003747DF"/>
    <w:rsid w:val="003B2762"/>
    <w:rsid w:val="003C0AE2"/>
    <w:rsid w:val="003C6454"/>
    <w:rsid w:val="003D51BA"/>
    <w:rsid w:val="003E6E52"/>
    <w:rsid w:val="003F1FB3"/>
    <w:rsid w:val="003F3EDA"/>
    <w:rsid w:val="003F6CFD"/>
    <w:rsid w:val="004153DA"/>
    <w:rsid w:val="0042304A"/>
    <w:rsid w:val="00426CBE"/>
    <w:rsid w:val="0043462D"/>
    <w:rsid w:val="004435BA"/>
    <w:rsid w:val="004536AA"/>
    <w:rsid w:val="00466FFE"/>
    <w:rsid w:val="0047584C"/>
    <w:rsid w:val="0048123E"/>
    <w:rsid w:val="00481A55"/>
    <w:rsid w:val="00487C22"/>
    <w:rsid w:val="004B6E8F"/>
    <w:rsid w:val="004F43FB"/>
    <w:rsid w:val="004F7A2C"/>
    <w:rsid w:val="00503533"/>
    <w:rsid w:val="0050491E"/>
    <w:rsid w:val="0052245C"/>
    <w:rsid w:val="00533EFB"/>
    <w:rsid w:val="00542CE5"/>
    <w:rsid w:val="00572A81"/>
    <w:rsid w:val="005761E3"/>
    <w:rsid w:val="00587857"/>
    <w:rsid w:val="00590E61"/>
    <w:rsid w:val="00597FCC"/>
    <w:rsid w:val="005B7A14"/>
    <w:rsid w:val="005F048A"/>
    <w:rsid w:val="0060668A"/>
    <w:rsid w:val="00607009"/>
    <w:rsid w:val="006A59D2"/>
    <w:rsid w:val="006E0BE0"/>
    <w:rsid w:val="006E3818"/>
    <w:rsid w:val="00705A9F"/>
    <w:rsid w:val="0072024B"/>
    <w:rsid w:val="0073286C"/>
    <w:rsid w:val="00750D53"/>
    <w:rsid w:val="007937DB"/>
    <w:rsid w:val="00796F90"/>
    <w:rsid w:val="007C1A56"/>
    <w:rsid w:val="007C7B76"/>
    <w:rsid w:val="007E1C0C"/>
    <w:rsid w:val="00807FCA"/>
    <w:rsid w:val="00816CF2"/>
    <w:rsid w:val="008228B0"/>
    <w:rsid w:val="00826C76"/>
    <w:rsid w:val="0085273F"/>
    <w:rsid w:val="00866ABB"/>
    <w:rsid w:val="00895FAC"/>
    <w:rsid w:val="008A719E"/>
    <w:rsid w:val="008C3CDE"/>
    <w:rsid w:val="008D70FA"/>
    <w:rsid w:val="008E2DEB"/>
    <w:rsid w:val="008E78AA"/>
    <w:rsid w:val="00915CB0"/>
    <w:rsid w:val="009466DB"/>
    <w:rsid w:val="0095133C"/>
    <w:rsid w:val="009520C1"/>
    <w:rsid w:val="0095364D"/>
    <w:rsid w:val="00961656"/>
    <w:rsid w:val="009678B5"/>
    <w:rsid w:val="00976A25"/>
    <w:rsid w:val="0099477E"/>
    <w:rsid w:val="009964C5"/>
    <w:rsid w:val="009A7E64"/>
    <w:rsid w:val="009B5208"/>
    <w:rsid w:val="009B6BF2"/>
    <w:rsid w:val="009C688B"/>
    <w:rsid w:val="009D206F"/>
    <w:rsid w:val="009D36C1"/>
    <w:rsid w:val="009D4937"/>
    <w:rsid w:val="00A15A10"/>
    <w:rsid w:val="00A40B08"/>
    <w:rsid w:val="00A41F80"/>
    <w:rsid w:val="00A50D9F"/>
    <w:rsid w:val="00A56988"/>
    <w:rsid w:val="00A655B8"/>
    <w:rsid w:val="00A702F1"/>
    <w:rsid w:val="00A72662"/>
    <w:rsid w:val="00A96D77"/>
    <w:rsid w:val="00AC1154"/>
    <w:rsid w:val="00AC2793"/>
    <w:rsid w:val="00AE02AE"/>
    <w:rsid w:val="00AE677E"/>
    <w:rsid w:val="00AF0D16"/>
    <w:rsid w:val="00AF22D5"/>
    <w:rsid w:val="00B252BD"/>
    <w:rsid w:val="00B2639E"/>
    <w:rsid w:val="00B30C71"/>
    <w:rsid w:val="00B441D0"/>
    <w:rsid w:val="00B4704B"/>
    <w:rsid w:val="00B5769D"/>
    <w:rsid w:val="00B6029D"/>
    <w:rsid w:val="00B6395A"/>
    <w:rsid w:val="00B96FEE"/>
    <w:rsid w:val="00BD16F6"/>
    <w:rsid w:val="00C028F2"/>
    <w:rsid w:val="00C06F8E"/>
    <w:rsid w:val="00C45CDD"/>
    <w:rsid w:val="00C71C72"/>
    <w:rsid w:val="00CB7509"/>
    <w:rsid w:val="00CC713D"/>
    <w:rsid w:val="00CD0DE2"/>
    <w:rsid w:val="00CD13C3"/>
    <w:rsid w:val="00CE0AAD"/>
    <w:rsid w:val="00CF6886"/>
    <w:rsid w:val="00D278D0"/>
    <w:rsid w:val="00D67CFE"/>
    <w:rsid w:val="00D71618"/>
    <w:rsid w:val="00D81D01"/>
    <w:rsid w:val="00D827F6"/>
    <w:rsid w:val="00D94671"/>
    <w:rsid w:val="00DC0AF9"/>
    <w:rsid w:val="00DC27D2"/>
    <w:rsid w:val="00DD18A4"/>
    <w:rsid w:val="00DD1AF2"/>
    <w:rsid w:val="00DD5CA4"/>
    <w:rsid w:val="00DF3D28"/>
    <w:rsid w:val="00DF7DF8"/>
    <w:rsid w:val="00E43A66"/>
    <w:rsid w:val="00E5041A"/>
    <w:rsid w:val="00E5531B"/>
    <w:rsid w:val="00E63F85"/>
    <w:rsid w:val="00E66D55"/>
    <w:rsid w:val="00E85484"/>
    <w:rsid w:val="00E90B4D"/>
    <w:rsid w:val="00EA4BCB"/>
    <w:rsid w:val="00EB40FA"/>
    <w:rsid w:val="00EB421C"/>
    <w:rsid w:val="00EC5AB3"/>
    <w:rsid w:val="00ED3983"/>
    <w:rsid w:val="00ED54E8"/>
    <w:rsid w:val="00ED7336"/>
    <w:rsid w:val="00EF0E2F"/>
    <w:rsid w:val="00EF60D1"/>
    <w:rsid w:val="00F040D7"/>
    <w:rsid w:val="00F07CA8"/>
    <w:rsid w:val="00F257AA"/>
    <w:rsid w:val="00F35F2B"/>
    <w:rsid w:val="00F41F86"/>
    <w:rsid w:val="00F848E2"/>
    <w:rsid w:val="00F856E2"/>
    <w:rsid w:val="00F85A5F"/>
    <w:rsid w:val="00F9471C"/>
    <w:rsid w:val="00F94E0F"/>
    <w:rsid w:val="00FB3B09"/>
    <w:rsid w:val="00FC40CC"/>
    <w:rsid w:val="00FE723D"/>
    <w:rsid w:val="00FF1566"/>
    <w:rsid w:val="27BF193B"/>
    <w:rsid w:val="55EA4A8D"/>
    <w:rsid w:val="75A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numPr>
        <w:ilvl w:val="0"/>
        <w:numId w:val="1"/>
      </w:numPr>
      <w:spacing w:before="120" w:after="120" w:line="360" w:lineRule="auto"/>
      <w:outlineLvl w:val="0"/>
    </w:pPr>
    <w:rPr>
      <w:rFonts w:eastAsiaTheme="minorHAnsi"/>
      <w:b/>
      <w:bCs/>
      <w:kern w:val="44"/>
      <w:sz w:val="28"/>
      <w:szCs w:val="28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numPr>
        <w:ilvl w:val="0"/>
        <w:numId w:val="2"/>
      </w:numPr>
      <w:spacing w:before="120" w:after="120" w:line="360" w:lineRule="auto"/>
      <w:ind w:left="482" w:hanging="482"/>
      <w:outlineLvl w:val="1"/>
    </w:pPr>
    <w:rPr>
      <w:rFonts w:eastAsiaTheme="minorHAnsi" w:cstheme="majorBidi"/>
      <w:b/>
      <w:bCs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unhideWhenUsed/>
    <w:uiPriority w:val="1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uiPriority w:val="39"/>
    <w:pPr>
      <w:ind w:left="1200"/>
      <w:jc w:val="left"/>
    </w:pPr>
    <w:rPr>
      <w:rFonts w:eastAsiaTheme="minorHAnsi"/>
      <w:sz w:val="20"/>
      <w:szCs w:val="20"/>
    </w:rPr>
  </w:style>
  <w:style w:type="paragraph" w:styleId="6">
    <w:name w:val="Document Map"/>
    <w:basedOn w:val="1"/>
    <w:link w:val="25"/>
    <w:semiHidden/>
    <w:unhideWhenUsed/>
    <w:uiPriority w:val="99"/>
    <w:rPr>
      <w:rFonts w:ascii="宋体" w:eastAsia="宋体"/>
    </w:rPr>
  </w:style>
  <w:style w:type="paragraph" w:styleId="7">
    <w:name w:val="toc 5"/>
    <w:basedOn w:val="1"/>
    <w:next w:val="1"/>
    <w:unhideWhenUsed/>
    <w:uiPriority w:val="39"/>
    <w:pPr>
      <w:ind w:left="720"/>
      <w:jc w:val="left"/>
    </w:pPr>
    <w:rPr>
      <w:rFonts w:eastAsiaTheme="minorHAnsi"/>
      <w:sz w:val="20"/>
      <w:szCs w:val="20"/>
    </w:rPr>
  </w:style>
  <w:style w:type="paragraph" w:styleId="8">
    <w:name w:val="toc 3"/>
    <w:basedOn w:val="1"/>
    <w:next w:val="1"/>
    <w:unhideWhenUsed/>
    <w:uiPriority w:val="39"/>
    <w:pPr>
      <w:ind w:left="240"/>
      <w:jc w:val="left"/>
    </w:pPr>
    <w:rPr>
      <w:rFonts w:eastAsiaTheme="minorHAnsi"/>
      <w:sz w:val="20"/>
      <w:szCs w:val="20"/>
    </w:rPr>
  </w:style>
  <w:style w:type="paragraph" w:styleId="9">
    <w:name w:val="toc 8"/>
    <w:basedOn w:val="1"/>
    <w:next w:val="1"/>
    <w:unhideWhenUsed/>
    <w:uiPriority w:val="39"/>
    <w:pPr>
      <w:ind w:left="1440"/>
      <w:jc w:val="left"/>
    </w:pPr>
    <w:rPr>
      <w:rFonts w:eastAsiaTheme="minorHAnsi"/>
      <w:sz w:val="20"/>
      <w:szCs w:val="20"/>
    </w:rPr>
  </w:style>
  <w:style w:type="paragraph" w:styleId="10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uiPriority w:val="39"/>
    <w:pPr>
      <w:spacing w:before="120" w:after="120"/>
      <w:jc w:val="left"/>
    </w:pPr>
    <w:rPr>
      <w:rFonts w:asciiTheme="majorHAnsi"/>
      <w:b/>
      <w:bCs/>
      <w:caps/>
      <w:sz w:val="20"/>
    </w:rPr>
  </w:style>
  <w:style w:type="paragraph" w:styleId="13">
    <w:name w:val="toc 4"/>
    <w:basedOn w:val="1"/>
    <w:next w:val="1"/>
    <w:unhideWhenUsed/>
    <w:uiPriority w:val="39"/>
    <w:pPr>
      <w:ind w:left="480"/>
      <w:jc w:val="left"/>
    </w:pPr>
    <w:rPr>
      <w:rFonts w:eastAsiaTheme="minorHAnsi"/>
      <w:sz w:val="20"/>
      <w:szCs w:val="20"/>
    </w:rPr>
  </w:style>
  <w:style w:type="paragraph" w:styleId="14">
    <w:name w:val="toc 6"/>
    <w:basedOn w:val="1"/>
    <w:next w:val="1"/>
    <w:unhideWhenUsed/>
    <w:uiPriority w:val="39"/>
    <w:pPr>
      <w:ind w:left="960"/>
      <w:jc w:val="left"/>
    </w:pPr>
    <w:rPr>
      <w:rFonts w:eastAsiaTheme="minorHAnsi"/>
      <w:sz w:val="20"/>
      <w:szCs w:val="20"/>
    </w:rPr>
  </w:style>
  <w:style w:type="paragraph" w:styleId="15">
    <w:name w:val="table of figures"/>
    <w:basedOn w:val="1"/>
    <w:next w:val="1"/>
    <w:unhideWhenUsed/>
    <w:uiPriority w:val="99"/>
    <w:pPr>
      <w:ind w:left="480" w:hanging="480"/>
    </w:pPr>
  </w:style>
  <w:style w:type="paragraph" w:styleId="16">
    <w:name w:val="toc 2"/>
    <w:basedOn w:val="1"/>
    <w:next w:val="1"/>
    <w:unhideWhenUsed/>
    <w:uiPriority w:val="39"/>
    <w:pPr>
      <w:tabs>
        <w:tab w:val="left" w:pos="720"/>
        <w:tab w:val="right" w:pos="9010"/>
      </w:tabs>
      <w:ind w:left="82" w:leftChars="82"/>
      <w:jc w:val="center"/>
    </w:pPr>
    <w:rPr>
      <w:rFonts w:eastAsiaTheme="minorHAnsi"/>
      <w:bCs/>
      <w:sz w:val="20"/>
      <w:szCs w:val="28"/>
    </w:rPr>
  </w:style>
  <w:style w:type="paragraph" w:styleId="17">
    <w:name w:val="toc 9"/>
    <w:basedOn w:val="1"/>
    <w:next w:val="1"/>
    <w:unhideWhenUsed/>
    <w:uiPriority w:val="39"/>
    <w:pPr>
      <w:ind w:left="1680"/>
      <w:jc w:val="left"/>
    </w:pPr>
    <w:rPr>
      <w:rFonts w:eastAsiaTheme="minorHAnsi"/>
      <w:sz w:val="20"/>
      <w:szCs w:val="20"/>
    </w:rPr>
  </w:style>
  <w:style w:type="paragraph" w:styleId="1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20">
    <w:name w:val="page number"/>
    <w:basedOn w:val="19"/>
    <w:semiHidden/>
    <w:unhideWhenUsed/>
    <w:uiPriority w:val="99"/>
  </w:style>
  <w:style w:type="character" w:styleId="21">
    <w:name w:val="Hyperlink"/>
    <w:basedOn w:val="1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23">
    <w:name w:val="Table Grid"/>
    <w:basedOn w:val="2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文档结构图 字符"/>
    <w:basedOn w:val="19"/>
    <w:link w:val="6"/>
    <w:semiHidden/>
    <w:uiPriority w:val="99"/>
    <w:rPr>
      <w:rFonts w:ascii="宋体" w:eastAsia="宋体"/>
    </w:rPr>
  </w:style>
  <w:style w:type="character" w:customStyle="1" w:styleId="26">
    <w:name w:val="页眉 字符"/>
    <w:basedOn w:val="19"/>
    <w:link w:val="11"/>
    <w:uiPriority w:val="99"/>
    <w:rPr>
      <w:sz w:val="18"/>
      <w:szCs w:val="18"/>
    </w:rPr>
  </w:style>
  <w:style w:type="character" w:customStyle="1" w:styleId="27">
    <w:name w:val="页脚 字符"/>
    <w:basedOn w:val="19"/>
    <w:link w:val="10"/>
    <w:uiPriority w:val="99"/>
    <w:rPr>
      <w:sz w:val="18"/>
      <w:szCs w:val="18"/>
    </w:rPr>
  </w:style>
  <w:style w:type="character" w:customStyle="1" w:styleId="28">
    <w:name w:val="标题 1 字符"/>
    <w:basedOn w:val="19"/>
    <w:link w:val="2"/>
    <w:uiPriority w:val="9"/>
    <w:rPr>
      <w:rFonts w:eastAsiaTheme="minorHAnsi"/>
      <w:b/>
      <w:bCs/>
      <w:kern w:val="44"/>
      <w:sz w:val="28"/>
      <w:szCs w:val="28"/>
    </w:rPr>
  </w:style>
  <w:style w:type="paragraph" w:customStyle="1" w:styleId="29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F5597" w:themeColor="accent1" w:themeShade="BF"/>
      <w:kern w:val="0"/>
    </w:rPr>
  </w:style>
  <w:style w:type="character" w:customStyle="1" w:styleId="30">
    <w:name w:val="标题 3 字符"/>
    <w:basedOn w:val="19"/>
    <w:link w:val="4"/>
    <w:uiPriority w:val="9"/>
    <w:rPr>
      <w:b/>
      <w:bCs/>
      <w:sz w:val="32"/>
      <w:szCs w:val="32"/>
    </w:rPr>
  </w:style>
  <w:style w:type="character" w:customStyle="1" w:styleId="31">
    <w:name w:val="标题 2 字符"/>
    <w:basedOn w:val="19"/>
    <w:link w:val="3"/>
    <w:uiPriority w:val="9"/>
    <w:rPr>
      <w:rFonts w:eastAsiaTheme="minorHAnsi" w:cstheme="majorBidi"/>
      <w:b/>
      <w:bCs/>
    </w:rPr>
  </w:style>
  <w:style w:type="paragraph" w:customStyle="1" w:styleId="32">
    <w:name w:val="through-content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33">
    <w:name w:val="content"/>
    <w:basedOn w:val="1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249031-70C4-CA4E-9E0B-34D2AA706F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349</Words>
  <Characters>1993</Characters>
  <Lines>16</Lines>
  <Paragraphs>4</Paragraphs>
  <TotalTime>13</TotalTime>
  <ScaleCrop>false</ScaleCrop>
  <LinksUpToDate>false</LinksUpToDate>
  <CharactersWithSpaces>2338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2018-07-13T02:55:00Z</dcterms:created>
  <dc:creator>Microsoft Office 用户</dc:creator>
  <cp:lastModifiedBy>Administrator</cp:lastModifiedBy>
  <dcterms:modified xsi:type="dcterms:W3CDTF">2019-09-18T07:41:56Z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